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356C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1. GEFAHRSTOFFBEZEICHNUNG</w:t>
      </w:r>
    </w:p>
    <w:tbl>
      <w:tblPr>
        <w:tblW w:w="10772" w:type="dxa"/>
        <w:tblBorders>
          <w:top w:val="single" w:sz="4" w:space="0" w:color="EC7329"/>
          <w:left w:val="single" w:sz="4" w:space="0" w:color="EC7329"/>
          <w:bottom w:val="single" w:sz="4" w:space="0" w:color="EC7329"/>
          <w:right w:val="single" w:sz="4" w:space="0" w:color="EC7329"/>
          <w:insideH w:val="single" w:sz="4" w:space="0" w:color="EC7329"/>
          <w:insideV w:val="single" w:sz="4" w:space="0" w:color="EC732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0124C8" w14:paraId="0F01D21F" w14:textId="77777777" w:rsidTr="001350DE">
        <w:trPr>
          <w:trHeight w:val="20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86BF1" w14:textId="77777777" w:rsidR="002B2BFC" w:rsidRPr="00F14F09" w:rsidRDefault="00DD10A0" w:rsidP="005F7D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Lotio 2in1</w:t>
            </w:r>
          </w:p>
        </w:tc>
      </w:tr>
    </w:tbl>
    <w:p w14:paraId="53E6B35F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2. GEFAHREN FÜR MENSCH UND UMWELT</w:t>
      </w:r>
    </w:p>
    <w:p w14:paraId="547C219F" w14:textId="77777777" w:rsidR="006844A1" w:rsidRPr="00DD497D" w:rsidRDefault="006844A1" w:rsidP="008262DB">
      <w:pPr>
        <w:spacing w:before="60" w:after="0"/>
        <w:jc w:val="center"/>
        <w:rPr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24C8" w14:paraId="02C69E4F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3922AFFF" w14:textId="77777777" w:rsidR="008D2BAF" w:rsidRPr="0090499F" w:rsidRDefault="003E6EAA" w:rsidP="00EE2E5F">
            <w:pPr>
              <w:spacing w:after="0"/>
              <w:ind w:left="284" w:hanging="284"/>
              <w:rPr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 xml:space="preserve">Schädliche physikalisch-chemische, gesundheitliche und Umwelt-Wirkungen: </w:t>
            </w:r>
            <w:r w:rsidR="00F57933" w:rsidRPr="0090499F">
              <w:rPr>
                <w:noProof/>
                <w:lang w:val="de-DE"/>
              </w:rPr>
              <w:t xml:space="preserve">Nach unserem Kenntnisstand birgt dieses Produkt bei Einhaltung guter Arbeitshygiene keine </w:t>
            </w:r>
            <w:r w:rsidR="00F57933" w:rsidRPr="0090499F">
              <w:rPr>
                <w:noProof/>
                <w:lang w:val="de-DE"/>
              </w:rPr>
              <w:t>besonderen Risiken.</w:t>
            </w:r>
          </w:p>
        </w:tc>
      </w:tr>
      <w:tr w:rsidR="000124C8" w14:paraId="4B876F36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18B3F9EB" w14:textId="77777777" w:rsidR="008D2BAF" w:rsidRPr="00772235" w:rsidRDefault="003E6EAA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Reaktivität: </w:t>
            </w:r>
            <w:r w:rsidR="00F57933" w:rsidRPr="00772235">
              <w:rPr>
                <w:noProof/>
              </w:rPr>
              <w:t>Das Produkt ist nicht reaktiv unter normalen Gebrauchs-, Lagerungs- und Transportbedingungen.</w:t>
            </w:r>
          </w:p>
        </w:tc>
      </w:tr>
      <w:tr w:rsidR="000124C8" w14:paraId="269E4723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25C235FF" w14:textId="77777777" w:rsidR="008D2BAF" w:rsidRPr="003959B2" w:rsidRDefault="003E6EAA" w:rsidP="00EE2E5F">
            <w:pPr>
              <w:spacing w:after="0"/>
              <w:ind w:left="284" w:hanging="284"/>
              <w:rPr>
                <w:noProof/>
                <w:lang w:val="en-US"/>
              </w:rPr>
            </w:pPr>
            <w:r w:rsidRPr="003959B2">
              <w:rPr>
                <w:b/>
                <w:noProof/>
                <w:lang w:val="en-US"/>
              </w:rPr>
              <w:t xml:space="preserve">Chemische Stabilität: </w:t>
            </w:r>
            <w:r w:rsidR="00DD10A0" w:rsidRPr="003959B2">
              <w:rPr>
                <w:noProof/>
                <w:lang w:val="en-US"/>
              </w:rPr>
              <w:t>Stabil unter normalen Bedingungen.</w:t>
            </w:r>
          </w:p>
        </w:tc>
      </w:tr>
      <w:tr w:rsidR="000124C8" w14:paraId="445A82C0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211BD8D7" w14:textId="77777777" w:rsidR="008D2BAF" w:rsidRPr="00772235" w:rsidRDefault="003E6EAA" w:rsidP="00EE2E5F">
            <w:pPr>
              <w:spacing w:after="0"/>
              <w:ind w:left="284" w:hanging="284"/>
              <w:rPr>
                <w:noProof/>
              </w:rPr>
            </w:pPr>
            <w:r w:rsidRPr="00772235">
              <w:rPr>
                <w:b/>
                <w:noProof/>
              </w:rPr>
              <w:t xml:space="preserve">Unverträgliche Materialien: </w:t>
            </w:r>
            <w:r w:rsidR="00DD10A0">
              <w:rPr>
                <w:noProof/>
              </w:rPr>
              <w:t>Starke Oxidationsmittel.</w:t>
            </w:r>
          </w:p>
        </w:tc>
      </w:tr>
      <w:tr w:rsidR="000124C8" w14:paraId="23E8D061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5F56E700" w14:textId="77777777" w:rsidR="008D2BAF" w:rsidRPr="00772235" w:rsidRDefault="003E6EAA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Gefährliche Zersetzungsprodukte: </w:t>
            </w:r>
            <w:r w:rsidR="00F57933" w:rsidRPr="00772235">
              <w:rPr>
                <w:noProof/>
              </w:rPr>
              <w:t>Unter normalen Lager- und Anwendungsbedingungen sollten keine gefährlichen Zersetzungsprodukte gebildet werden.</w:t>
            </w:r>
          </w:p>
        </w:tc>
      </w:tr>
    </w:tbl>
    <w:p w14:paraId="358EE9DD" w14:textId="77777777" w:rsidR="000F03C8" w:rsidRPr="00F4227C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3. SCHUTZMAßNAHMEN UND VERHALTENSREGELN</w:t>
      </w:r>
    </w:p>
    <w:p w14:paraId="46AE87D8" w14:textId="77777777" w:rsidR="006844A1" w:rsidRPr="00321B2A" w:rsidRDefault="00DD10A0" w:rsidP="008262DB">
      <w:pPr>
        <w:spacing w:before="60" w:after="0"/>
        <w:jc w:val="center"/>
        <w:rPr>
          <w:sz w:val="2"/>
          <w:szCs w:val="2"/>
        </w:rPr>
      </w:pPr>
      <w:r>
        <w:rPr>
          <w:noProof/>
          <w:szCs w:val="2"/>
        </w:rPr>
        <w:drawing>
          <wp:inline distT="0" distB="0" distL="0" distR="0" wp14:anchorId="7AB6D0EE" wp14:editId="527A3A23">
            <wp:extent cx="381000" cy="381000"/>
            <wp:effectExtent l="0" t="0" r="0" b="0"/>
            <wp:docPr id="100003" name="Grafik 100003" descr="Bei wiederholtem oder länger anhaltendem Kontakt Handschuhe tr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"/>
        </w:rPr>
        <w:t xml:space="preserve"> </w:t>
      </w:r>
      <w:r>
        <w:rPr>
          <w:noProof/>
          <w:szCs w:val="2"/>
        </w:rPr>
        <w:drawing>
          <wp:inline distT="0" distB="0" distL="0" distR="0" wp14:anchorId="36153E56" wp14:editId="6805391D">
            <wp:extent cx="381000" cy="381000"/>
            <wp:effectExtent l="0" t="0" r="0" b="0"/>
            <wp:docPr id="100005" name="Grafik 100005" descr="Keine offene Flamme; Feuer, offene Zündquelle und Rauchen verb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8192"/>
      </w:tblGrid>
      <w:tr w:rsidR="000124C8" w14:paraId="43B1120D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309E4B07" w14:textId="77777777" w:rsidR="008510B3" w:rsidRPr="00772235" w:rsidRDefault="00401AE0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Schutzmaßnahmen zur sicheren Handhabung: </w:t>
            </w:r>
            <w:r w:rsidR="00F57933" w:rsidRPr="00772235">
              <w:rPr>
                <w:noProof/>
              </w:rPr>
              <w:t>Für eine gute Belüftung des Arbeitsplatzes sorgen. Persönliche Schutzausrüstung tragen.</w:t>
            </w:r>
          </w:p>
        </w:tc>
      </w:tr>
      <w:tr w:rsidR="000124C8" w14:paraId="6FAB8907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7B0E53A3" w14:textId="77777777" w:rsidR="008510B3" w:rsidRPr="00772235" w:rsidRDefault="00401AE0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Lagerbedingungen: </w:t>
            </w:r>
            <w:r w:rsidR="00DD10A0">
              <w:rPr>
                <w:noProof/>
              </w:rPr>
              <w:t>An einem gut belüfteten Ort aufbewahren. Kühl halten.</w:t>
            </w:r>
          </w:p>
        </w:tc>
      </w:tr>
      <w:tr w:rsidR="000124C8" w14:paraId="09281474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22B4B247" w14:textId="77777777" w:rsidR="008510B3" w:rsidRPr="00772235" w:rsidRDefault="00401AE0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Spezifische Endanwendungen: </w:t>
            </w:r>
            <w:r w:rsidR="00DD10A0">
              <w:rPr>
                <w:noProof/>
              </w:rPr>
              <w:t>Desinfektionsmittel.</w:t>
            </w:r>
          </w:p>
        </w:tc>
      </w:tr>
      <w:tr w:rsidR="000124C8" w14:paraId="007CB5F0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61A564A1" w14:textId="77777777" w:rsidR="001C4FC3" w:rsidRPr="00443982" w:rsidRDefault="00241C98" w:rsidP="00F425E9">
            <w:pPr>
              <w:spacing w:after="0"/>
            </w:pPr>
            <w:r w:rsidRPr="00443982">
              <w:rPr>
                <w:b/>
                <w:noProof/>
              </w:rPr>
              <w:t>Handschutz: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0124C8" w14:paraId="59225DDB" w14:textId="77777777" w:rsidTr="00362624">
              <w:trPr>
                <w:cantSplit/>
                <w:trHeight w:val="18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14:paraId="21126110" w14:textId="77777777" w:rsidR="00593AF4" w:rsidRPr="00443982" w:rsidRDefault="00F57933" w:rsidP="00593AF4">
                  <w:pPr>
                    <w:spacing w:after="0"/>
                    <w:rPr>
                      <w:sz w:val="14"/>
                      <w:szCs w:val="14"/>
                    </w:rPr>
                  </w:pPr>
                  <w:r w:rsidRPr="00443982">
                    <w:rPr>
                      <w:noProof/>
                    </w:rPr>
                    <w:t>Nicht erforderlich. Bei wiederholtem oder länger anhaltendem Kontakt Handschuhe tragen.</w:t>
                  </w:r>
                </w:p>
              </w:tc>
            </w:tr>
          </w:tbl>
          <w:p w14:paraId="1677797F" w14:textId="77777777" w:rsidR="00593AF4" w:rsidRPr="00443982" w:rsidRDefault="00593AF4" w:rsidP="00545F53">
            <w:pPr>
              <w:spacing w:after="0"/>
              <w:ind w:left="284" w:hanging="284"/>
            </w:pPr>
          </w:p>
        </w:tc>
      </w:tr>
      <w:tr w:rsidR="000124C8" w14:paraId="46A699FB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4B5C5F86" w14:textId="77777777" w:rsidR="001C4FC3" w:rsidRPr="00443982" w:rsidRDefault="001B61D5" w:rsidP="00F425E9">
            <w:pPr>
              <w:spacing w:after="0"/>
            </w:pPr>
            <w:r w:rsidRPr="00443982">
              <w:rPr>
                <w:b/>
                <w:noProof/>
              </w:rPr>
              <w:t>Augenschutz: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0124C8" w14:paraId="1A28A088" w14:textId="77777777" w:rsidTr="00593AF4">
              <w:trPr>
                <w:cantSplit/>
                <w:trHeight w:val="19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14:paraId="31C97F62" w14:textId="77777777" w:rsidR="00593AF4" w:rsidRPr="00443982" w:rsidRDefault="00F57933" w:rsidP="001C4FC3">
                  <w:pPr>
                    <w:spacing w:after="0"/>
                    <w:rPr>
                      <w:sz w:val="14"/>
                      <w:szCs w:val="14"/>
                    </w:rPr>
                  </w:pPr>
                  <w:r w:rsidRPr="00443982">
                    <w:rPr>
                      <w:noProof/>
                    </w:rPr>
                    <w:t xml:space="preserve">Nicht erforderlich bei normaler Handhabung. Beim Umfüllen Schutzbrille </w:t>
                  </w:r>
                  <w:r w:rsidRPr="00443982">
                    <w:rPr>
                      <w:noProof/>
                    </w:rPr>
                    <w:t>empfehlenswert. EN 166.</w:t>
                  </w:r>
                </w:p>
              </w:tc>
            </w:tr>
          </w:tbl>
          <w:p w14:paraId="23A3314A" w14:textId="77777777" w:rsidR="001C4FC3" w:rsidRPr="00443982" w:rsidRDefault="001C4FC3" w:rsidP="00545F53">
            <w:pPr>
              <w:spacing w:after="0"/>
              <w:ind w:left="284" w:hanging="284"/>
            </w:pPr>
          </w:p>
        </w:tc>
      </w:tr>
      <w:tr w:rsidR="000124C8" w14:paraId="40FA0703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006E1192" w14:textId="77777777" w:rsidR="001C4FC3" w:rsidRPr="00443982" w:rsidRDefault="001B61D5" w:rsidP="00F425E9">
            <w:pPr>
              <w:spacing w:after="0"/>
            </w:pPr>
            <w:r w:rsidRPr="00443982">
              <w:rPr>
                <w:b/>
                <w:noProof/>
              </w:rPr>
              <w:t>Haut- und Körperschutz: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4"/>
            </w:tblGrid>
            <w:tr w:rsidR="000124C8" w14:paraId="61F1077E" w14:textId="77777777" w:rsidTr="009F7044">
              <w:trPr>
                <w:cantSplit/>
                <w:trHeight w:val="16"/>
              </w:trPr>
              <w:tc>
                <w:tcPr>
                  <w:tcW w:w="8164" w:type="dxa"/>
                  <w:tcBorders>
                    <w:top w:val="nil"/>
                    <w:bottom w:val="nil"/>
                  </w:tcBorders>
                </w:tcPr>
                <w:p w14:paraId="19A4CA49" w14:textId="77777777" w:rsidR="009F7044" w:rsidRPr="00443982" w:rsidRDefault="00DD10A0" w:rsidP="001C4FC3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t>langärmlige Arbeitskleidung (DIN EN ISO 6530).</w:t>
                  </w:r>
                </w:p>
              </w:tc>
            </w:tr>
          </w:tbl>
          <w:p w14:paraId="76B96238" w14:textId="77777777" w:rsidR="001C4FC3" w:rsidRPr="00443982" w:rsidRDefault="001C4FC3" w:rsidP="00545F53">
            <w:pPr>
              <w:spacing w:after="0"/>
              <w:ind w:left="284" w:hanging="284"/>
            </w:pPr>
          </w:p>
        </w:tc>
      </w:tr>
      <w:tr w:rsidR="000124C8" w14:paraId="2006F50B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52EBE3EB" w14:textId="77777777" w:rsidR="001C4FC3" w:rsidRPr="00443982" w:rsidRDefault="001B61D5" w:rsidP="00F425E9">
            <w:pPr>
              <w:spacing w:after="0"/>
            </w:pPr>
            <w:r w:rsidRPr="00443982">
              <w:rPr>
                <w:b/>
                <w:noProof/>
              </w:rPr>
              <w:t>Atemschutz: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0124C8" w14:paraId="3BFFFB3F" w14:textId="77777777" w:rsidTr="009F7044">
              <w:trPr>
                <w:cantSplit/>
                <w:trHeight w:val="20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14:paraId="3E938271" w14:textId="77777777" w:rsidR="009F7044" w:rsidRPr="00443982" w:rsidRDefault="00DD10A0" w:rsidP="001C4FC3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t>Bei unzureichender Belüftung geeignete Atemschutzausrüstung tragen.</w:t>
                  </w:r>
                </w:p>
              </w:tc>
            </w:tr>
          </w:tbl>
          <w:p w14:paraId="665683B0" w14:textId="77777777" w:rsidR="001C4FC3" w:rsidRPr="00443982" w:rsidRDefault="001C4FC3" w:rsidP="00545F53">
            <w:pPr>
              <w:spacing w:after="0"/>
              <w:ind w:left="284" w:hanging="284"/>
            </w:pPr>
          </w:p>
        </w:tc>
      </w:tr>
    </w:tbl>
    <w:p w14:paraId="45F3755F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4. VERHALTEN IM GEFAHRFALL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  <w:gridCol w:w="1361"/>
      </w:tblGrid>
      <w:tr w:rsidR="000124C8" w14:paraId="740ED242" w14:textId="77777777" w:rsidTr="008479A1">
        <w:trPr>
          <w:trHeight w:val="20"/>
        </w:trPr>
        <w:tc>
          <w:tcPr>
            <w:tcW w:w="942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4"/>
            </w:tblGrid>
            <w:tr w:rsidR="000124C8" w14:paraId="6DB769A0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27EA9734" w14:textId="77777777" w:rsidR="00727650" w:rsidRPr="00443982" w:rsidRDefault="00144FE7" w:rsidP="00727650">
                  <w:pPr>
                    <w:spacing w:after="0"/>
                    <w:ind w:left="284" w:hanging="284"/>
                  </w:pPr>
                  <w:r w:rsidRPr="00443982">
                    <w:rPr>
                      <w:b/>
                      <w:noProof/>
                    </w:rPr>
                    <w:t xml:space="preserve">Geeignete Löschmittel: </w:t>
                  </w:r>
                  <w:r w:rsidR="00DD10A0">
                    <w:rPr>
                      <w:noProof/>
                    </w:rPr>
                    <w:t>Wassersprühstrahl. Trockenlöschpulver. Schaum. Kohlendioxid.</w:t>
                  </w:r>
                </w:p>
              </w:tc>
            </w:tr>
            <w:tr w:rsidR="000124C8" w14:paraId="5495E007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305C00C2" w14:textId="77777777" w:rsidR="00727650" w:rsidRPr="00443982" w:rsidRDefault="00144FE7" w:rsidP="00727650">
                  <w:pPr>
                    <w:spacing w:after="0"/>
                    <w:ind w:left="284" w:hanging="284"/>
                  </w:pPr>
                  <w:r w:rsidRPr="00443982">
                    <w:rPr>
                      <w:b/>
                      <w:noProof/>
                    </w:rPr>
                    <w:t xml:space="preserve">Ungeeignete Löschmittel: </w:t>
                  </w:r>
                  <w:r w:rsidR="00F57933" w:rsidRPr="00443982">
                    <w:rPr>
                      <w:noProof/>
                    </w:rPr>
                    <w:t>Wasser im Vollstrahl. Keinen Wasservollstrahl verwenden, um eine Zerstreuung und Ausbreitung des Feuers zu vermeiden.</w:t>
                  </w:r>
                </w:p>
              </w:tc>
            </w:tr>
            <w:tr w:rsidR="000124C8" w14:paraId="2F560F67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14C0464F" w14:textId="77777777" w:rsidR="00727650" w:rsidRPr="0090499F" w:rsidRDefault="00144FE7" w:rsidP="00727650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>
                    <w:rPr>
                      <w:b/>
                      <w:noProof/>
                      <w:lang w:val="de-DE"/>
                    </w:rPr>
                    <w:t xml:space="preserve">Notfallmaßnahmen: </w:t>
                  </w:r>
                  <w:r w:rsidR="00DD10A0">
                    <w:rPr>
                      <w:noProof/>
                      <w:lang w:val="de-DE"/>
                    </w:rPr>
                    <w:t>Verunreinigten Bereich lüften.</w:t>
                  </w:r>
                </w:p>
              </w:tc>
            </w:tr>
            <w:tr w:rsidR="000124C8" w14:paraId="0C64DB51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1399BFEE" w14:textId="77777777" w:rsidR="00727650" w:rsidRPr="00443982" w:rsidRDefault="00144FE7" w:rsidP="00727650">
                  <w:pPr>
                    <w:spacing w:after="0"/>
                    <w:ind w:left="284" w:hanging="284"/>
                  </w:pPr>
                  <w:r w:rsidRPr="00443982">
                    <w:rPr>
                      <w:b/>
                      <w:noProof/>
                    </w:rPr>
                    <w:t xml:space="preserve">Umweltschutzmaßnahmen: </w:t>
                  </w:r>
                  <w:r w:rsidR="00DD10A0">
                    <w:rPr>
                      <w:noProof/>
                    </w:rPr>
                    <w:t>Freisetzung in die Umwelt vermeiden.</w:t>
                  </w:r>
                </w:p>
              </w:tc>
            </w:tr>
            <w:tr w:rsidR="000124C8" w14:paraId="3742D2D3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143E5B57" w14:textId="77777777" w:rsidR="00727650" w:rsidRPr="0090499F" w:rsidRDefault="00144FE7" w:rsidP="00727650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>
                    <w:rPr>
                      <w:b/>
                      <w:noProof/>
                      <w:lang w:val="de-DE"/>
                    </w:rPr>
                    <w:t xml:space="preserve">Reinigungsverfahren: </w:t>
                  </w:r>
                  <w:r w:rsidR="00DD10A0">
                    <w:rPr>
                      <w:noProof/>
                      <w:lang w:val="de-DE"/>
                    </w:rPr>
                    <w:t>Verschüttete Flüssigkeit mit Absorptionsmittel aufnehmen.</w:t>
                  </w:r>
                </w:p>
              </w:tc>
            </w:tr>
          </w:tbl>
          <w:p w14:paraId="199EC7AA" w14:textId="77777777" w:rsidR="0046241F" w:rsidRPr="00346AEC" w:rsidRDefault="0046241F" w:rsidP="00346AEC">
            <w:pPr>
              <w:spacing w:after="0"/>
              <w:rPr>
                <w:rFonts w:ascii="Arial Narrow" w:hAnsi="Arial Narrow"/>
                <w:szCs w:val="2"/>
                <w:lang w:val="de-DE"/>
              </w:rPr>
            </w:pPr>
          </w:p>
        </w:tc>
        <w:tc>
          <w:tcPr>
            <w:tcW w:w="1361" w:type="dxa"/>
            <w:shd w:val="clear" w:color="auto" w:fill="auto"/>
          </w:tcPr>
          <w:p w14:paraId="7B5E8485" w14:textId="77777777" w:rsidR="0046241F" w:rsidRPr="00443982" w:rsidRDefault="00DD10A0" w:rsidP="00195EAE">
            <w:pPr>
              <w:spacing w:after="0" w:line="288" w:lineRule="auto"/>
              <w:rPr>
                <w:rFonts w:ascii="Arial Narrow" w:hAnsi="Arial Narrow"/>
                <w:szCs w:val="2"/>
              </w:rPr>
            </w:pPr>
            <w:r>
              <w:rPr>
                <w:noProof/>
                <w:szCs w:val="2"/>
              </w:rPr>
              <w:drawing>
                <wp:inline distT="0" distB="0" distL="0" distR="0" wp14:anchorId="2B6CFF81" wp14:editId="0F92B5E8">
                  <wp:extent cx="381000" cy="381000"/>
                  <wp:effectExtent l="0" t="0" r="0" b="0"/>
                  <wp:docPr id="100007" name="Grafik 100007" descr="Feuerlös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51633" w14:textId="77777777" w:rsid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5. ERSTE HILFE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0124C8" w14:paraId="71E5CF9C" w14:textId="77777777" w:rsidTr="008575CD">
        <w:trPr>
          <w:trHeight w:val="20"/>
        </w:trPr>
        <w:tc>
          <w:tcPr>
            <w:tcW w:w="5000" w:type="pct"/>
            <w:shd w:val="clear" w:color="auto" w:fill="auto"/>
          </w:tcPr>
          <w:tbl>
            <w:tblPr>
              <w:tblW w:w="107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3"/>
              <w:gridCol w:w="1399"/>
            </w:tblGrid>
            <w:tr w:rsidR="000124C8" w14:paraId="3F4A1B60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135195D8" w14:textId="77777777" w:rsidR="008575CD" w:rsidRPr="00A449C7" w:rsidRDefault="00F57933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Einatmen: </w:t>
                  </w:r>
                  <w:r>
                    <w:rPr>
                      <w:noProof/>
                    </w:rPr>
                    <w:t>Die Person an die frische Luft bringen und für ungehinderte Atmung sorgen.</w:t>
                  </w:r>
                </w:p>
              </w:tc>
              <w:tc>
                <w:tcPr>
                  <w:tcW w:w="1399" w:type="dxa"/>
                  <w:vMerge w:val="restart"/>
                </w:tcPr>
                <w:p w14:paraId="3BEE47ED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:rsidR="000124C8" w14:paraId="2B76D397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19090845" w14:textId="77777777" w:rsidR="008575CD" w:rsidRPr="00A449C7" w:rsidRDefault="00F57933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Hautkontakt: </w:t>
                  </w:r>
                  <w:r>
                    <w:rPr>
                      <w:noProof/>
                    </w:rPr>
                    <w:t>Das Produkt ist als nicht hautreizend anzusehen. Haut mit viel Wasser abwaschen.</w:t>
                  </w:r>
                </w:p>
              </w:tc>
              <w:tc>
                <w:tcPr>
                  <w:tcW w:w="1399" w:type="dxa"/>
                  <w:vMerge/>
                </w:tcPr>
                <w:p w14:paraId="0A8F031B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:rsidR="000124C8" w14:paraId="1A582BBB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08A004DA" w14:textId="77777777" w:rsidR="008575CD" w:rsidRPr="00A449C7" w:rsidRDefault="00F57933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Augenkontakt: </w:t>
                  </w:r>
                  <w:r w:rsidRPr="00A449C7">
                    <w:rPr>
                      <w:noProof/>
                    </w:rPr>
                    <w:t>Augen vorsorglich mit Wasser ausspülen.</w:t>
                  </w:r>
                </w:p>
              </w:tc>
              <w:tc>
                <w:tcPr>
                  <w:tcW w:w="1399" w:type="dxa"/>
                  <w:vMerge/>
                </w:tcPr>
                <w:p w14:paraId="7DE6CD1F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:rsidR="000124C8" w14:paraId="298B3FD1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43925603" w14:textId="77777777" w:rsidR="008575CD" w:rsidRPr="00A449C7" w:rsidRDefault="00F57933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Verschlucken: </w:t>
                  </w:r>
                  <w:r w:rsidRPr="00A449C7">
                    <w:rPr>
                      <w:noProof/>
                    </w:rPr>
                    <w:t>Bei Unwohlsein Giftinformationszentrum oder Arzt anrufen.</w:t>
                  </w:r>
                </w:p>
              </w:tc>
              <w:tc>
                <w:tcPr>
                  <w:tcW w:w="1399" w:type="dxa"/>
                  <w:vMerge/>
                </w:tcPr>
                <w:p w14:paraId="5FFA89F4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</w:tbl>
          <w:p w14:paraId="5E1BF729" w14:textId="77777777" w:rsidR="000124C8" w:rsidRDefault="000124C8"/>
        </w:tc>
      </w:tr>
    </w:tbl>
    <w:p w14:paraId="185A8D35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6. SACHGERECHTE ENTSORGUNG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24C8" w14:paraId="31C9F739" w14:textId="77777777" w:rsidTr="0041120A">
        <w:trPr>
          <w:trHeight w:val="20"/>
        </w:trPr>
        <w:tc>
          <w:tcPr>
            <w:tcW w:w="10773" w:type="dxa"/>
            <w:shd w:val="clear" w:color="auto" w:fill="auto"/>
          </w:tcPr>
          <w:p w14:paraId="64E7F5B4" w14:textId="77777777" w:rsidR="005F2A15" w:rsidRPr="0090499F" w:rsidRDefault="00875BBE" w:rsidP="00EE2E5F">
            <w:pPr>
              <w:spacing w:after="0"/>
              <w:ind w:left="284" w:hanging="284"/>
              <w:rPr>
                <w:lang w:val="de-DE"/>
              </w:rPr>
            </w:pPr>
            <w:r>
              <w:rPr>
                <w:b/>
                <w:noProof/>
                <w:lang w:val="de-DE"/>
              </w:rPr>
              <w:t xml:space="preserve">Verfahren der Abfallbehandlung: </w:t>
            </w:r>
            <w:r w:rsidR="00DD10A0">
              <w:rPr>
                <w:noProof/>
                <w:lang w:val="de-DE"/>
              </w:rPr>
              <w:t>Inhalt/Behälter gemäß den Sortieranweisungen des zugelassenen Einsammlers entsorgen.</w:t>
            </w:r>
          </w:p>
        </w:tc>
      </w:tr>
    </w:tbl>
    <w:p w14:paraId="2C1E10B6" w14:textId="77777777" w:rsidR="00AE135F" w:rsidRPr="007658AA" w:rsidRDefault="00AE135F" w:rsidP="002223B3">
      <w:pPr>
        <w:tabs>
          <w:tab w:val="left" w:pos="3421"/>
        </w:tabs>
        <w:spacing w:after="0"/>
        <w:rPr>
          <w:szCs w:val="2"/>
          <w:lang w:val="en-US"/>
        </w:rPr>
      </w:pPr>
    </w:p>
    <w:p w14:paraId="1873E924" w14:textId="77777777" w:rsidR="00AE135F" w:rsidRPr="00890433" w:rsidRDefault="00F57933" w:rsidP="00AE135F">
      <w:pPr>
        <w:tabs>
          <w:tab w:val="left" w:pos="3421"/>
        </w:tabs>
        <w:rPr>
          <w:szCs w:val="280"/>
          <w:highlight w:val="yellow"/>
          <w:lang w:val="de-DE"/>
        </w:rPr>
      </w:pPr>
      <w:r w:rsidRPr="00890433">
        <w:rPr>
          <w:szCs w:val="280"/>
          <w:highlight w:val="yellow"/>
          <w:lang w:val="de-DE"/>
        </w:rPr>
        <w:t>Freigabedatum: Bitte ergänzen</w:t>
      </w:r>
    </w:p>
    <w:p w14:paraId="31C3C772" w14:textId="77777777" w:rsidR="00AE135F" w:rsidRPr="00890433" w:rsidRDefault="00F57933" w:rsidP="00AE135F">
      <w:pPr>
        <w:tabs>
          <w:tab w:val="left" w:pos="3421"/>
        </w:tabs>
        <w:rPr>
          <w:szCs w:val="280"/>
          <w:lang w:val="de-DE"/>
        </w:rPr>
      </w:pPr>
      <w:r w:rsidRPr="00890433">
        <w:rPr>
          <w:szCs w:val="280"/>
          <w:highlight w:val="yellow"/>
          <w:lang w:val="de-DE"/>
        </w:rPr>
        <w:t>Verantwortlicher: Bitte ergänzen</w:t>
      </w:r>
    </w:p>
    <w:p w14:paraId="3EC73130" w14:textId="77777777" w:rsidR="00AE135F" w:rsidRPr="00AE135F" w:rsidRDefault="00AE135F" w:rsidP="002223B3">
      <w:pPr>
        <w:tabs>
          <w:tab w:val="left" w:pos="3421"/>
        </w:tabs>
        <w:spacing w:after="0"/>
        <w:rPr>
          <w:szCs w:val="2"/>
          <w:lang w:val="de-DE"/>
        </w:rPr>
      </w:pPr>
    </w:p>
    <w:sectPr w:rsidR="00AE135F" w:rsidRPr="00AE135F" w:rsidSect="000F03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567" w:bottom="567" w:left="567" w:header="567" w:footer="0" w:gutter="0"/>
      <w:pgBorders w:offsetFrom="page">
        <w:top w:val="single" w:sz="48" w:space="20" w:color="ED7D31"/>
        <w:left w:val="single" w:sz="48" w:space="20" w:color="ED7D31"/>
        <w:bottom w:val="single" w:sz="48" w:space="20" w:color="ED7D31"/>
        <w:right w:val="single" w:sz="48" w:space="20" w:color="ED7D3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4984" w14:textId="77777777" w:rsidR="00F57933" w:rsidRDefault="00F57933">
      <w:pPr>
        <w:spacing w:after="0"/>
      </w:pPr>
      <w:r>
        <w:separator/>
      </w:r>
    </w:p>
  </w:endnote>
  <w:endnote w:type="continuationSeparator" w:id="0">
    <w:p w14:paraId="7F437FB4" w14:textId="77777777" w:rsidR="00F57933" w:rsidRDefault="00F579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A79F" w14:textId="77777777" w:rsidR="00611773" w:rsidRDefault="006117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889C" w14:textId="77777777" w:rsidR="00611773" w:rsidRDefault="006117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2CBB" w14:textId="77777777" w:rsidR="00611773" w:rsidRDefault="006117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DA1C5" w14:textId="77777777" w:rsidR="00F57933" w:rsidRDefault="00F57933">
      <w:pPr>
        <w:spacing w:after="0"/>
      </w:pPr>
      <w:r>
        <w:separator/>
      </w:r>
    </w:p>
  </w:footnote>
  <w:footnote w:type="continuationSeparator" w:id="0">
    <w:p w14:paraId="3EF8D0C1" w14:textId="77777777" w:rsidR="00F57933" w:rsidRDefault="00F579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9646" w14:textId="77777777" w:rsidR="00611773" w:rsidRDefault="006117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665"/>
      <w:gridCol w:w="5443"/>
      <w:gridCol w:w="2665"/>
    </w:tblGrid>
    <w:tr w:rsidR="000124C8" w14:paraId="09E48F19" w14:textId="77777777" w:rsidTr="00E10813">
      <w:trPr>
        <w:trHeight w:val="20"/>
      </w:trPr>
      <w:tc>
        <w:tcPr>
          <w:tcW w:w="2665" w:type="dxa"/>
        </w:tcPr>
        <w:p w14:paraId="541EF17B" w14:textId="77777777" w:rsidR="00284B6D" w:rsidRPr="007658AA" w:rsidRDefault="00643C7B" w:rsidP="00E10813">
          <w:pPr>
            <w:tabs>
              <w:tab w:val="right" w:pos="2550"/>
            </w:tabs>
            <w:spacing w:after="0"/>
            <w:rPr>
              <w:bCs/>
              <w:sz w:val="18"/>
              <w:szCs w:val="18"/>
              <w:lang w:val="en-US"/>
            </w:rPr>
          </w:pPr>
          <w:r w:rsidRPr="007658AA">
            <w:rPr>
              <w:bCs/>
              <w:noProof/>
              <w:sz w:val="18"/>
              <w:szCs w:val="18"/>
              <w:lang w:val="en-US"/>
            </w:rPr>
            <w:t>Standort</w:t>
          </w:r>
          <w:r w:rsidRPr="007658AA">
            <w:rPr>
              <w:noProof/>
              <w:sz w:val="18"/>
              <w:szCs w:val="18"/>
            </w:rPr>
            <w:t>:</w:t>
          </w:r>
          <w:r w:rsidRPr="007658AA">
            <w:rPr>
              <w:noProof/>
              <w:sz w:val="18"/>
              <w:szCs w:val="18"/>
            </w:rPr>
            <w:tab/>
            <w:t>Laboratorium Dr. Deppe GmbH</w:t>
          </w:r>
        </w:p>
        <w:p w14:paraId="4222DF90" w14:textId="77777777" w:rsidR="00284B6D" w:rsidRPr="007658AA" w:rsidRDefault="00643C7B" w:rsidP="00E10813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>
            <w:rPr>
              <w:bCs/>
              <w:noProof/>
              <w:sz w:val="18"/>
              <w:szCs w:val="18"/>
              <w:highlight w:val="yellow"/>
              <w:lang w:val="en-US"/>
            </w:rPr>
            <w:t>Arbeitsbereich</w:t>
          </w:r>
          <w:r w:rsidRPr="007658AA">
            <w:rPr>
              <w:noProof/>
              <w:sz w:val="18"/>
              <w:szCs w:val="18"/>
              <w:highlight w:val="yellow"/>
            </w:rPr>
            <w:t>:</w:t>
          </w:r>
          <w:r w:rsidRPr="007658AA">
            <w:rPr>
              <w:noProof/>
              <w:sz w:val="18"/>
              <w:szCs w:val="18"/>
              <w:highlight w:val="yellow"/>
            </w:rPr>
            <w:tab/>
            <w:t>bitte ergänzen</w:t>
          </w:r>
        </w:p>
        <w:p w14:paraId="4EE77605" w14:textId="77777777" w:rsidR="00284B6D" w:rsidRPr="007658AA" w:rsidRDefault="00643C7B" w:rsidP="00E10813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>
            <w:rPr>
              <w:bCs/>
              <w:noProof/>
              <w:sz w:val="18"/>
              <w:szCs w:val="18"/>
              <w:highlight w:val="yellow"/>
              <w:lang w:val="en-US"/>
            </w:rPr>
            <w:t>Arbeitsplatz</w:t>
          </w:r>
          <w:r w:rsidRPr="007658AA">
            <w:rPr>
              <w:noProof/>
              <w:sz w:val="18"/>
              <w:szCs w:val="18"/>
              <w:highlight w:val="yellow"/>
            </w:rPr>
            <w:t>:</w:t>
          </w:r>
          <w:r w:rsidRPr="007658AA">
            <w:rPr>
              <w:noProof/>
              <w:sz w:val="18"/>
              <w:szCs w:val="18"/>
              <w:highlight w:val="yellow"/>
            </w:rPr>
            <w:tab/>
            <w:t>bitte ergänzen</w:t>
          </w:r>
        </w:p>
        <w:p w14:paraId="20A78E70" w14:textId="77777777" w:rsidR="00284B6D" w:rsidRPr="007658AA" w:rsidRDefault="00643C7B" w:rsidP="00E10813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>
            <w:rPr>
              <w:bCs/>
              <w:noProof/>
              <w:sz w:val="18"/>
              <w:szCs w:val="18"/>
              <w:highlight w:val="yellow"/>
              <w:lang w:val="en-US"/>
            </w:rPr>
            <w:t>Tätigkeit</w:t>
          </w:r>
          <w:r w:rsidRPr="007658AA">
            <w:rPr>
              <w:noProof/>
              <w:sz w:val="18"/>
              <w:szCs w:val="18"/>
              <w:highlight w:val="yellow"/>
            </w:rPr>
            <w:t>:</w:t>
          </w:r>
          <w:r w:rsidRPr="007658AA">
            <w:rPr>
              <w:noProof/>
              <w:sz w:val="18"/>
              <w:szCs w:val="18"/>
              <w:highlight w:val="yellow"/>
            </w:rPr>
            <w:tab/>
            <w:t>bitte ergänzen</w:t>
          </w:r>
        </w:p>
      </w:tc>
      <w:tc>
        <w:tcPr>
          <w:tcW w:w="5443" w:type="dxa"/>
        </w:tcPr>
        <w:p w14:paraId="57101263" w14:textId="77777777" w:rsidR="00284B6D" w:rsidRPr="007658AA" w:rsidRDefault="00643C7B" w:rsidP="00827404">
          <w:pPr>
            <w:spacing w:after="0"/>
            <w:jc w:val="center"/>
            <w:rPr>
              <w:bCs/>
              <w:sz w:val="24"/>
              <w:szCs w:val="24"/>
              <w:lang w:val="en-US"/>
            </w:rPr>
          </w:pPr>
          <w:r w:rsidRPr="007658AA">
            <w:rPr>
              <w:b/>
              <w:bCs/>
              <w:noProof/>
              <w:sz w:val="24"/>
              <w:szCs w:val="24"/>
              <w:lang w:val="en-US"/>
            </w:rPr>
            <w:t>Betriebsanweisung (TRGS 555)</w:t>
          </w:r>
        </w:p>
      </w:tc>
      <w:tc>
        <w:tcPr>
          <w:tcW w:w="2665" w:type="dxa"/>
        </w:tcPr>
        <w:p w14:paraId="1E9E468B" w14:textId="77777777" w:rsidR="00611773" w:rsidRPr="00807A6E" w:rsidRDefault="00F57933" w:rsidP="00611773">
          <w:pPr>
            <w:tabs>
              <w:tab w:val="right" w:pos="2550"/>
            </w:tabs>
            <w:spacing w:after="0"/>
            <w:jc w:val="right"/>
            <w:rPr>
              <w:bCs/>
              <w:color w:val="0000FF"/>
              <w:sz w:val="18"/>
              <w:szCs w:val="18"/>
              <w:lang w:val="en-US"/>
            </w:rPr>
          </w:pPr>
          <w:r w:rsidRPr="00807A6E">
            <w:rPr>
              <w:noProof/>
              <w:color w:val="0000FF"/>
              <w:sz w:val="18"/>
              <w:szCs w:val="18"/>
            </w:rPr>
            <w:drawing>
              <wp:inline distT="0" distB="0" distL="0" distR="0" wp14:anchorId="4934E09D" wp14:editId="0C99D063">
                <wp:extent cx="1016000" cy="373365"/>
                <wp:effectExtent l="0" t="0" r="0" b="0"/>
                <wp:docPr id="100001" name="Grafik 10000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373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9050F86" w14:textId="77777777" w:rsidR="00611773" w:rsidRPr="00807A6E" w:rsidRDefault="00F57933" w:rsidP="00611773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Ausgabedatum:</w:t>
          </w:r>
          <w:r w:rsidRPr="00807A6E">
            <w:rPr>
              <w:bCs/>
              <w:noProof/>
              <w:sz w:val="18"/>
              <w:szCs w:val="18"/>
              <w:lang w:val="en-US"/>
            </w:rPr>
            <w:tab/>
            <w:t>07.04.2025</w:t>
          </w:r>
        </w:p>
        <w:p w14:paraId="12315708" w14:textId="77777777" w:rsidR="00611773" w:rsidRPr="00807A6E" w:rsidRDefault="00F57933" w:rsidP="00611773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Version:</w:t>
          </w:r>
          <w:r w:rsidRPr="00807A6E">
            <w:rPr>
              <w:bCs/>
              <w:noProof/>
              <w:sz w:val="18"/>
              <w:szCs w:val="18"/>
              <w:lang w:val="en-US"/>
            </w:rPr>
            <w:tab/>
            <w:t>1.0</w:t>
          </w:r>
        </w:p>
      </w:tc>
    </w:tr>
  </w:tbl>
  <w:p w14:paraId="2052669C" w14:textId="77777777" w:rsidR="00284B6D" w:rsidRPr="00236A01" w:rsidRDefault="00284B6D" w:rsidP="00BB27D9">
    <w:pPr>
      <w:spacing w:after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853F" w14:textId="77777777" w:rsidR="00611773" w:rsidRDefault="006117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hyphenationZone w:val="425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1"/>
    <w:rsid w:val="00005A8F"/>
    <w:rsid w:val="000124C8"/>
    <w:rsid w:val="00032E83"/>
    <w:rsid w:val="0004127A"/>
    <w:rsid w:val="00053E23"/>
    <w:rsid w:val="000551F2"/>
    <w:rsid w:val="0006161E"/>
    <w:rsid w:val="0006274B"/>
    <w:rsid w:val="00071EF0"/>
    <w:rsid w:val="00094EC4"/>
    <w:rsid w:val="000B6C58"/>
    <w:rsid w:val="000E5636"/>
    <w:rsid w:val="000E72BF"/>
    <w:rsid w:val="000F03C8"/>
    <w:rsid w:val="00103F67"/>
    <w:rsid w:val="00112159"/>
    <w:rsid w:val="00127AC8"/>
    <w:rsid w:val="001347E5"/>
    <w:rsid w:val="00134829"/>
    <w:rsid w:val="001350DE"/>
    <w:rsid w:val="00140567"/>
    <w:rsid w:val="00144FE7"/>
    <w:rsid w:val="0015375E"/>
    <w:rsid w:val="001568E9"/>
    <w:rsid w:val="001570F0"/>
    <w:rsid w:val="00167B1F"/>
    <w:rsid w:val="001760B7"/>
    <w:rsid w:val="001807F3"/>
    <w:rsid w:val="0018417F"/>
    <w:rsid w:val="00195EAE"/>
    <w:rsid w:val="001A7B5E"/>
    <w:rsid w:val="001B0826"/>
    <w:rsid w:val="001B61D5"/>
    <w:rsid w:val="001C4FC3"/>
    <w:rsid w:val="001E3B55"/>
    <w:rsid w:val="001F5E83"/>
    <w:rsid w:val="00201829"/>
    <w:rsid w:val="00205F3F"/>
    <w:rsid w:val="00206370"/>
    <w:rsid w:val="00220D2D"/>
    <w:rsid w:val="002223B3"/>
    <w:rsid w:val="00225203"/>
    <w:rsid w:val="00236A01"/>
    <w:rsid w:val="00241C98"/>
    <w:rsid w:val="002517A5"/>
    <w:rsid w:val="00262AD8"/>
    <w:rsid w:val="00270F84"/>
    <w:rsid w:val="0027167B"/>
    <w:rsid w:val="00284B6D"/>
    <w:rsid w:val="00296E63"/>
    <w:rsid w:val="002A384D"/>
    <w:rsid w:val="002B02F3"/>
    <w:rsid w:val="002B2BFC"/>
    <w:rsid w:val="002C0C3C"/>
    <w:rsid w:val="002D47B8"/>
    <w:rsid w:val="002F564A"/>
    <w:rsid w:val="00315906"/>
    <w:rsid w:val="00315FF5"/>
    <w:rsid w:val="003207FE"/>
    <w:rsid w:val="00321B2A"/>
    <w:rsid w:val="00324C5C"/>
    <w:rsid w:val="00331D7A"/>
    <w:rsid w:val="00346AEC"/>
    <w:rsid w:val="00346E2A"/>
    <w:rsid w:val="00356ADD"/>
    <w:rsid w:val="00360B49"/>
    <w:rsid w:val="00362624"/>
    <w:rsid w:val="003735B6"/>
    <w:rsid w:val="00374FA5"/>
    <w:rsid w:val="00382B87"/>
    <w:rsid w:val="00383625"/>
    <w:rsid w:val="00384994"/>
    <w:rsid w:val="003959B2"/>
    <w:rsid w:val="003A1984"/>
    <w:rsid w:val="003B02E2"/>
    <w:rsid w:val="003B248A"/>
    <w:rsid w:val="003C5322"/>
    <w:rsid w:val="003D7D03"/>
    <w:rsid w:val="003E6EAA"/>
    <w:rsid w:val="00401889"/>
    <w:rsid w:val="00401AE0"/>
    <w:rsid w:val="0041120A"/>
    <w:rsid w:val="004221D4"/>
    <w:rsid w:val="004229D1"/>
    <w:rsid w:val="00443982"/>
    <w:rsid w:val="00447050"/>
    <w:rsid w:val="0046241F"/>
    <w:rsid w:val="00474BFF"/>
    <w:rsid w:val="00491458"/>
    <w:rsid w:val="00494D8D"/>
    <w:rsid w:val="004B3F50"/>
    <w:rsid w:val="004B5D81"/>
    <w:rsid w:val="004B65A3"/>
    <w:rsid w:val="004B78BF"/>
    <w:rsid w:val="004C514A"/>
    <w:rsid w:val="004D1BEA"/>
    <w:rsid w:val="004F3D74"/>
    <w:rsid w:val="004F4A7B"/>
    <w:rsid w:val="00506AE8"/>
    <w:rsid w:val="00507462"/>
    <w:rsid w:val="00510501"/>
    <w:rsid w:val="00543043"/>
    <w:rsid w:val="00544ADF"/>
    <w:rsid w:val="00545F53"/>
    <w:rsid w:val="00552412"/>
    <w:rsid w:val="00552DDA"/>
    <w:rsid w:val="00560C7A"/>
    <w:rsid w:val="00593AF4"/>
    <w:rsid w:val="005A4190"/>
    <w:rsid w:val="005B58FF"/>
    <w:rsid w:val="005C0CEF"/>
    <w:rsid w:val="005C33F3"/>
    <w:rsid w:val="005C71FD"/>
    <w:rsid w:val="005D6442"/>
    <w:rsid w:val="005F2A15"/>
    <w:rsid w:val="005F3F9C"/>
    <w:rsid w:val="005F59B3"/>
    <w:rsid w:val="005F7369"/>
    <w:rsid w:val="005F7D44"/>
    <w:rsid w:val="00601BFA"/>
    <w:rsid w:val="00602CB8"/>
    <w:rsid w:val="00611773"/>
    <w:rsid w:val="0061582B"/>
    <w:rsid w:val="006160E2"/>
    <w:rsid w:val="006173FE"/>
    <w:rsid w:val="0063250F"/>
    <w:rsid w:val="00642427"/>
    <w:rsid w:val="00643C7B"/>
    <w:rsid w:val="00643F62"/>
    <w:rsid w:val="0065417D"/>
    <w:rsid w:val="00655B17"/>
    <w:rsid w:val="006614AB"/>
    <w:rsid w:val="00680570"/>
    <w:rsid w:val="006844A1"/>
    <w:rsid w:val="006A29A4"/>
    <w:rsid w:val="006B725B"/>
    <w:rsid w:val="006C3B70"/>
    <w:rsid w:val="006C550E"/>
    <w:rsid w:val="006D7E72"/>
    <w:rsid w:val="006E1D3A"/>
    <w:rsid w:val="006F05E9"/>
    <w:rsid w:val="00711DB9"/>
    <w:rsid w:val="00723DCE"/>
    <w:rsid w:val="00727650"/>
    <w:rsid w:val="00745F69"/>
    <w:rsid w:val="00751E03"/>
    <w:rsid w:val="00753E5E"/>
    <w:rsid w:val="00762860"/>
    <w:rsid w:val="007658AA"/>
    <w:rsid w:val="0077061F"/>
    <w:rsid w:val="00772235"/>
    <w:rsid w:val="00772C56"/>
    <w:rsid w:val="00774CD4"/>
    <w:rsid w:val="007A098F"/>
    <w:rsid w:val="007A452C"/>
    <w:rsid w:val="007C67C1"/>
    <w:rsid w:val="007D6EF3"/>
    <w:rsid w:val="007E0309"/>
    <w:rsid w:val="007F42EA"/>
    <w:rsid w:val="00807A6E"/>
    <w:rsid w:val="00816E2B"/>
    <w:rsid w:val="008262DB"/>
    <w:rsid w:val="008263D6"/>
    <w:rsid w:val="00827404"/>
    <w:rsid w:val="008479A1"/>
    <w:rsid w:val="008510B3"/>
    <w:rsid w:val="0085287A"/>
    <w:rsid w:val="008575CD"/>
    <w:rsid w:val="00875BBE"/>
    <w:rsid w:val="008764B3"/>
    <w:rsid w:val="00876C03"/>
    <w:rsid w:val="0088430A"/>
    <w:rsid w:val="00890433"/>
    <w:rsid w:val="008D2BAF"/>
    <w:rsid w:val="008E77FB"/>
    <w:rsid w:val="00903783"/>
    <w:rsid w:val="0090499F"/>
    <w:rsid w:val="00911B16"/>
    <w:rsid w:val="00916AF4"/>
    <w:rsid w:val="00924DAC"/>
    <w:rsid w:val="00943590"/>
    <w:rsid w:val="00943CE7"/>
    <w:rsid w:val="00953DD1"/>
    <w:rsid w:val="00967074"/>
    <w:rsid w:val="009753E2"/>
    <w:rsid w:val="00977E35"/>
    <w:rsid w:val="00980E29"/>
    <w:rsid w:val="009813BD"/>
    <w:rsid w:val="00985624"/>
    <w:rsid w:val="009D4939"/>
    <w:rsid w:val="009D6652"/>
    <w:rsid w:val="009E1795"/>
    <w:rsid w:val="009F4822"/>
    <w:rsid w:val="009F7044"/>
    <w:rsid w:val="00A10B24"/>
    <w:rsid w:val="00A12A69"/>
    <w:rsid w:val="00A31C3B"/>
    <w:rsid w:val="00A449C7"/>
    <w:rsid w:val="00A555E1"/>
    <w:rsid w:val="00A8452E"/>
    <w:rsid w:val="00AA2396"/>
    <w:rsid w:val="00AB5015"/>
    <w:rsid w:val="00AB5530"/>
    <w:rsid w:val="00AB5B6D"/>
    <w:rsid w:val="00AC40CA"/>
    <w:rsid w:val="00AC670E"/>
    <w:rsid w:val="00AD0DDB"/>
    <w:rsid w:val="00AD1355"/>
    <w:rsid w:val="00AD6089"/>
    <w:rsid w:val="00AE135F"/>
    <w:rsid w:val="00AE5418"/>
    <w:rsid w:val="00B077B6"/>
    <w:rsid w:val="00B168E9"/>
    <w:rsid w:val="00B26D53"/>
    <w:rsid w:val="00B36AC4"/>
    <w:rsid w:val="00B513BB"/>
    <w:rsid w:val="00B56D6F"/>
    <w:rsid w:val="00B90726"/>
    <w:rsid w:val="00BA7A78"/>
    <w:rsid w:val="00BB27D9"/>
    <w:rsid w:val="00BC43E2"/>
    <w:rsid w:val="00BC734E"/>
    <w:rsid w:val="00BD391F"/>
    <w:rsid w:val="00BD4C05"/>
    <w:rsid w:val="00C04E96"/>
    <w:rsid w:val="00C16B62"/>
    <w:rsid w:val="00C24514"/>
    <w:rsid w:val="00C40799"/>
    <w:rsid w:val="00C50FD7"/>
    <w:rsid w:val="00C55A6C"/>
    <w:rsid w:val="00C67969"/>
    <w:rsid w:val="00C80665"/>
    <w:rsid w:val="00C86B33"/>
    <w:rsid w:val="00C945EF"/>
    <w:rsid w:val="00C9761B"/>
    <w:rsid w:val="00CA3849"/>
    <w:rsid w:val="00CD7035"/>
    <w:rsid w:val="00CF0127"/>
    <w:rsid w:val="00D00733"/>
    <w:rsid w:val="00D0429B"/>
    <w:rsid w:val="00D05BB9"/>
    <w:rsid w:val="00D25463"/>
    <w:rsid w:val="00D25B82"/>
    <w:rsid w:val="00D30EEB"/>
    <w:rsid w:val="00D37EAF"/>
    <w:rsid w:val="00D40535"/>
    <w:rsid w:val="00D52B88"/>
    <w:rsid w:val="00D64824"/>
    <w:rsid w:val="00D814EC"/>
    <w:rsid w:val="00D90529"/>
    <w:rsid w:val="00DA6A94"/>
    <w:rsid w:val="00DD10A0"/>
    <w:rsid w:val="00DD497D"/>
    <w:rsid w:val="00E10813"/>
    <w:rsid w:val="00E337B6"/>
    <w:rsid w:val="00E50873"/>
    <w:rsid w:val="00E64A08"/>
    <w:rsid w:val="00E72D02"/>
    <w:rsid w:val="00E754A0"/>
    <w:rsid w:val="00E81456"/>
    <w:rsid w:val="00E85543"/>
    <w:rsid w:val="00EA3130"/>
    <w:rsid w:val="00ED6A19"/>
    <w:rsid w:val="00EE2E5F"/>
    <w:rsid w:val="00EE4D7E"/>
    <w:rsid w:val="00EE55EE"/>
    <w:rsid w:val="00EF0192"/>
    <w:rsid w:val="00EF2BB6"/>
    <w:rsid w:val="00F11B43"/>
    <w:rsid w:val="00F14F09"/>
    <w:rsid w:val="00F2286E"/>
    <w:rsid w:val="00F41172"/>
    <w:rsid w:val="00F4227C"/>
    <w:rsid w:val="00F425E9"/>
    <w:rsid w:val="00F550E0"/>
    <w:rsid w:val="00F57933"/>
    <w:rsid w:val="00F73C0F"/>
    <w:rsid w:val="00F93E12"/>
    <w:rsid w:val="00F96070"/>
    <w:rsid w:val="00F96865"/>
    <w:rsid w:val="00FB79EC"/>
    <w:rsid w:val="00FC23A6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1FC1E"/>
  <w15:chartTrackingRefBased/>
  <w15:docId w15:val="{5D09060D-2E70-47A0-95CF-6315298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58AA"/>
    <w:pPr>
      <w:spacing w:after="60"/>
    </w:pPr>
    <w:rPr>
      <w:rFonts w:ascii="Arial" w:hAnsi="Arial" w:cs="Arial"/>
      <w:szCs w:val="16"/>
      <w:lang w:eastAsia="nl-NL"/>
    </w:rPr>
  </w:style>
  <w:style w:type="paragraph" w:styleId="berschrift1">
    <w:name w:val="heading 1"/>
    <w:basedOn w:val="Standard"/>
    <w:next w:val="Standard"/>
    <w:link w:val="berschrift1Zchn"/>
    <w:qFormat/>
    <w:rsid w:val="000401C3"/>
    <w:pPr>
      <w:keepNext/>
      <w:spacing w:before="240"/>
      <w:outlineLvl w:val="0"/>
    </w:pPr>
    <w:rPr>
      <w:rFonts w:ascii="Cambria" w:hAnsi="Cambria" w:cs="Times New Roman"/>
      <w:b/>
      <w:bCs/>
      <w:kern w:val="32"/>
      <w:sz w:val="32"/>
      <w:szCs w:val="32"/>
      <w:lang w:val="nl-NL"/>
    </w:rPr>
  </w:style>
  <w:style w:type="paragraph" w:styleId="berschrift2">
    <w:name w:val="heading 2"/>
    <w:basedOn w:val="Standard"/>
    <w:next w:val="Standard"/>
    <w:link w:val="berschrift2Zchn"/>
    <w:qFormat/>
    <w:rsid w:val="00E54C36"/>
    <w:pPr>
      <w:keepNext/>
      <w:spacing w:before="24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Kopfzeile"/>
    <w:rsid w:val="001E6E5C"/>
    <w:rPr>
      <w:rFonts w:ascii="Arial" w:hAnsi="Arial" w:cs="Arial"/>
      <w:sz w:val="16"/>
      <w:szCs w:val="16"/>
      <w:lang w:val="en-GB" w:eastAsia="nl-NL"/>
    </w:rPr>
  </w:style>
  <w:style w:type="character" w:customStyle="1" w:styleId="berschrift1Zchn">
    <w:name w:val="Überschrift 1 Zchn"/>
    <w:link w:val="berschrift1"/>
    <w:rsid w:val="000401C3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Fuzeile">
    <w:name w:val="footer"/>
    <w:basedOn w:val="Standard"/>
    <w:link w:val="FuzeileZchn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rsid w:val="001E6E5C"/>
    <w:rPr>
      <w:rFonts w:ascii="Arial" w:hAnsi="Arial" w:cs="Arial"/>
      <w:sz w:val="16"/>
      <w:szCs w:val="16"/>
      <w:lang w:val="en-GB" w:eastAsia="nl-NL"/>
    </w:rPr>
  </w:style>
  <w:style w:type="table" w:styleId="Tabellenraster">
    <w:name w:val="Table Grid"/>
    <w:basedOn w:val="NormaleTabelle"/>
    <w:uiPriority w:val="59"/>
    <w:rsid w:val="00262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6A0A34"/>
    <w:rPr>
      <w:rFonts w:ascii="Arial" w:hAnsi="Arial" w:cs="Arial"/>
      <w:sz w:val="16"/>
      <w:szCs w:val="16"/>
      <w:lang w:eastAsia="nl-NL"/>
    </w:rPr>
  </w:style>
  <w:style w:type="paragraph" w:styleId="Dokumentstruktur">
    <w:name w:val="Document Map"/>
    <w:basedOn w:val="Standard"/>
    <w:link w:val="DokumentstrukturZchn"/>
    <w:rsid w:val="00696DE1"/>
    <w:rPr>
      <w:rFonts w:ascii="Tahoma" w:hAnsi="Tahoma" w:cs="Times New Roman"/>
    </w:rPr>
  </w:style>
  <w:style w:type="character" w:customStyle="1" w:styleId="DokumentstrukturZchn">
    <w:name w:val="Dokumentstruktur Zchn"/>
    <w:link w:val="Dokumentstruktur"/>
    <w:rsid w:val="00696DE1"/>
    <w:rPr>
      <w:rFonts w:ascii="Tahoma" w:hAnsi="Tahoma" w:cs="Tahoma"/>
      <w:sz w:val="16"/>
      <w:szCs w:val="16"/>
      <w:lang w:val="en-GB" w:eastAsia="nl-NL"/>
    </w:rPr>
  </w:style>
  <w:style w:type="character" w:customStyle="1" w:styleId="KeinLeerraumZchn">
    <w:name w:val="Kein Leerraum Zchn"/>
    <w:link w:val="KeinLeerraum"/>
    <w:uiPriority w:val="1"/>
    <w:locked/>
    <w:rsid w:val="00B97855"/>
    <w:rPr>
      <w:rFonts w:ascii="Arial" w:hAnsi="Arial" w:cs="Arial"/>
      <w:sz w:val="16"/>
      <w:szCs w:val="16"/>
      <w:lang w:val="en-GB" w:eastAsia="nl-NL"/>
    </w:rPr>
  </w:style>
  <w:style w:type="paragraph" w:styleId="Sprechblasentext">
    <w:name w:val="Balloon Text"/>
    <w:basedOn w:val="Standard"/>
    <w:link w:val="SprechblasentextZchn"/>
    <w:rsid w:val="00AA20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A2021"/>
    <w:rPr>
      <w:rFonts w:ascii="Segoe UI" w:hAnsi="Segoe UI" w:cs="Segoe UI"/>
      <w:sz w:val="18"/>
      <w:szCs w:val="18"/>
      <w:lang w:eastAsia="nl-NL"/>
    </w:rPr>
  </w:style>
  <w:style w:type="character" w:customStyle="1" w:styleId="berschrift2Zchn">
    <w:name w:val="Überschrift 2 Zchn"/>
    <w:link w:val="berschrift2"/>
    <w:semiHidden/>
    <w:rsid w:val="00E54C36"/>
    <w:rPr>
      <w:rFonts w:ascii="Calibri Light" w:eastAsia="Times New Roman" w:hAnsi="Calibri Light" w:cs="Times New Roman"/>
      <w:b/>
      <w:bCs/>
      <w:i/>
      <w:iCs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4216-1964-40F5-B412-98AF0E39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2145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SDS EU (Reach Annex II)</vt:lpstr>
      <vt:lpstr>SDS EU (Reach Annex II)</vt:lpstr>
    </vt:vector>
  </TitlesOfParts>
  <Company>Lisam Systems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Klaudia Schindler</cp:lastModifiedBy>
  <cp:revision>2</cp:revision>
  <cp:lastPrinted>2016-03-23T10:48:00Z</cp:lastPrinted>
  <dcterms:created xsi:type="dcterms:W3CDTF">2025-05-14T07:01:00Z</dcterms:created>
  <dcterms:modified xsi:type="dcterms:W3CDTF">2025-05-14T07:01:00Z</dcterms:modified>
</cp:coreProperties>
</file>